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CFF590" w14:textId="77777777" w:rsidR="00CD73DE" w:rsidRDefault="00CD73DE" w:rsidP="00CD73DE">
      <w:r>
        <w:t>BSS BAG Teknik Özellikleri</w:t>
      </w:r>
    </w:p>
    <w:p w14:paraId="6E0C7B10" w14:textId="77777777" w:rsidR="00CD73DE" w:rsidRDefault="00CD73DE" w:rsidP="00CD73DE"/>
    <w:p w14:paraId="30CF8F8C" w14:textId="2F81C8EC" w:rsidR="00CD73DE" w:rsidRDefault="00CD73DE" w:rsidP="00CD73DE">
      <w:r>
        <w:t>1. Ürün ekstraoküler ve intraoküler kullanım amaçlı yıkama solüsyonu özelliğinde olmalıdır ve göz cerrahisinde kullanılabilmelidir.</w:t>
      </w:r>
    </w:p>
    <w:p w14:paraId="4DAED47F" w14:textId="4C2A5B48" w:rsidR="00CD73DE" w:rsidRDefault="00CD73DE" w:rsidP="00CD73DE">
      <w:r>
        <w:t>2. Beher mL’de</w:t>
      </w:r>
      <w:r>
        <w:t xml:space="preserve"> </w:t>
      </w:r>
      <w:r>
        <w:t>Sodyum klorür (NaCl) %0,64</w:t>
      </w:r>
      <w:r>
        <w:t xml:space="preserve">, </w:t>
      </w:r>
      <w:r>
        <w:t>Potasyum klorür (KCl) %0,075</w:t>
      </w:r>
      <w:r>
        <w:t xml:space="preserve">, </w:t>
      </w:r>
      <w:r>
        <w:t>Kalsiyum klorür dihidrat (CaCl₂·2H₂O) %0,048</w:t>
      </w:r>
      <w:r>
        <w:t xml:space="preserve">, </w:t>
      </w:r>
      <w:r>
        <w:t>Magnezyum klorür hekzahidrat (MgCl₂·6H₂O) %0,03</w:t>
      </w:r>
      <w:r>
        <w:t xml:space="preserve">, </w:t>
      </w:r>
      <w:r>
        <w:t>Sodyum asetat trihidrat (C₂H₃NaO₂·3H₂O) %0,39</w:t>
      </w:r>
      <w:r>
        <w:t xml:space="preserve">, </w:t>
      </w:r>
      <w:r>
        <w:t>Sodyum sitrat dihidrat (C₆H₅Na₃O₇·2H₂O) %0,17</w:t>
      </w:r>
      <w:r>
        <w:t xml:space="preserve">, </w:t>
      </w:r>
      <w:r>
        <w:t>Sodyum hidroksit ve/veya hidroklorik asit (pH’yi ayarlamak için)</w:t>
      </w:r>
      <w:r>
        <w:t xml:space="preserve"> </w:t>
      </w:r>
      <w:r>
        <w:t>ve enjeksiyonluk su içeren fizyolojik tuz içermelidir.</w:t>
      </w:r>
    </w:p>
    <w:p w14:paraId="3BD2C9B4" w14:textId="6BB69A74" w:rsidR="00CD73DE" w:rsidRDefault="00CD73DE" w:rsidP="00CD73DE">
      <w:r>
        <w:t>3. Yıkama solüsyonunun asit tampon kapasitesi = 0,0014 M/L/pH; baz tampon kapasitesi = 0,00019 M/L/pH olmalıdır.</w:t>
      </w:r>
    </w:p>
    <w:p w14:paraId="1B041EB4" w14:textId="3E5935F5" w:rsidR="00CD73DE" w:rsidRDefault="00CD73DE" w:rsidP="00CD73DE">
      <w:r>
        <w:t>4. Sterilize edilmiş 500 mL’lik plastik torbada ve plastik bir ambalaj içinde bulunmalıdır.</w:t>
      </w:r>
    </w:p>
    <w:p w14:paraId="50683E86" w14:textId="31754BC1" w:rsidR="00CD73DE" w:rsidRDefault="00CD73DE" w:rsidP="00CD73DE">
      <w:r>
        <w:t>5. Ürünün üzerinde üretici, üretim ve son kullanma tarihleri, saklama için saklama koşulları ve uyarılar bulunmalıdır.</w:t>
      </w:r>
    </w:p>
    <w:p w14:paraId="3360EFDC" w14:textId="0FD08DC8" w:rsidR="00CD73DE" w:rsidRDefault="00CD73DE" w:rsidP="00CD73DE">
      <w:r>
        <w:t>6. Enjeksiyon ya da transfüzyon aparatının torbanın içine geçerken zarar vermemesi ve aseptik olarak takılabilmesi için tipinin üzerinde işaretli olmalıdır.</w:t>
      </w:r>
    </w:p>
    <w:p w14:paraId="3E6E17BC" w14:textId="645CA1BF" w:rsidR="00CD73DE" w:rsidRDefault="00CD73DE" w:rsidP="00CD73DE">
      <w:r>
        <w:t>7. Gerektiğinde basınçlı infüzyon veya fako cihazı ile beraber kullanılabilmeli, kullanım sırasında yüksek sıcaklık ve 2 saat aşılmamalıdır. Ayrıca bu tür cihazlarla kullanıldığında cihaz tarafından otomatik olarak algılanabilme özelliğine sahip olmalıdır.</w:t>
      </w:r>
    </w:p>
    <w:p w14:paraId="11054C0B" w14:textId="06F67CEB" w:rsidR="006B6CB2" w:rsidRDefault="00CD73DE" w:rsidP="00CD73DE">
      <w:r>
        <w:t xml:space="preserve">8. Ürün </w:t>
      </w:r>
      <w:r>
        <w:t>hastane bünyesinde bulunan</w:t>
      </w:r>
      <w:r>
        <w:t xml:space="preserve"> cihaz</w:t>
      </w:r>
      <w:r>
        <w:t xml:space="preserve">larla </w:t>
      </w:r>
      <w:r>
        <w:t xml:space="preserve">uyumlu olmalıdır. </w:t>
      </w:r>
    </w:p>
    <w:p w14:paraId="30FF0FA6" w14:textId="3FD18D11" w:rsidR="00CD73DE" w:rsidRDefault="00CD73DE" w:rsidP="00CD73DE">
      <w:pPr>
        <w:rPr>
          <w:rFonts w:ascii="Times New Roman" w:hAnsi="Times New Roman" w:cs="Times New Roman"/>
          <w:sz w:val="24"/>
          <w:szCs w:val="24"/>
        </w:rPr>
      </w:pPr>
      <w:r>
        <w:t>9.</w:t>
      </w:r>
      <w:bookmarkStart w:id="0" w:name="_Hlk205895108"/>
      <w:r w:rsidRPr="00CD73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İstenildiği taktirde f</w:t>
      </w:r>
      <w:r w:rsidRPr="003F2420">
        <w:rPr>
          <w:rFonts w:ascii="Times New Roman" w:hAnsi="Times New Roman" w:cs="Times New Roman"/>
          <w:sz w:val="24"/>
          <w:szCs w:val="24"/>
        </w:rPr>
        <w:t>irma teklifle birlikte yeterli miktarda numune göndermelidir.</w:t>
      </w:r>
    </w:p>
    <w:bookmarkEnd w:id="0"/>
    <w:p w14:paraId="0B622BA8" w14:textId="440817CA" w:rsidR="00CD73DE" w:rsidRDefault="00CD73DE" w:rsidP="00CD73DE"/>
    <w:sectPr w:rsidR="00CD73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0A51"/>
    <w:rsid w:val="00385946"/>
    <w:rsid w:val="00420A51"/>
    <w:rsid w:val="005A02C5"/>
    <w:rsid w:val="006B6CB2"/>
    <w:rsid w:val="006C7D13"/>
    <w:rsid w:val="00CD7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C5C0B"/>
  <w15:chartTrackingRefBased/>
  <w15:docId w15:val="{0BF12D4E-7C12-458C-91AC-80ADE37B5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420A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420A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20A5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20A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20A5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20A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20A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20A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20A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20A5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420A5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20A5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20A51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20A51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20A51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20A51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20A51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20A51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420A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20A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420A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420A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420A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420A51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420A51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420A51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420A5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420A51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420A5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213</Words>
  <Characters>1220</Characters>
  <Application>Microsoft Office Word</Application>
  <DocSecurity>0</DocSecurity>
  <Lines>10</Lines>
  <Paragraphs>2</Paragraphs>
  <ScaleCrop>false</ScaleCrop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2025-08-12T11:05:00Z</dcterms:created>
  <dcterms:modified xsi:type="dcterms:W3CDTF">2025-08-12T11:09:00Z</dcterms:modified>
</cp:coreProperties>
</file>